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
	<Relationship Id="rId1" Type="http://schemas.openxmlformats.org/officeDocument/2006/relationships/officeDocument" Target="word/document.xml"/>
	<Relationship Id="rId2" Type="http://schemas.openxmlformats.org/package/2006/relationships/metadata/core-properties" Target="docProps/core.xml"/>
	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РФ от 13.07.2019 N 891</w:t>
              <w:br/>
              <w:t xml:space="preserve">"Об утверждении Правил проведения инвентаризации сбросов загрязняющих веществ в окружающую среду"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06.04.2026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ПРАВИТЕЛЬСТВО РОССИЙСКОЙ ФЕДЕРАЦИИ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13 июля 2019 г. N 891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ПРАВИЛ</w:t>
      </w:r>
    </w:p>
    <w:p>
      <w:pPr>
        <w:pStyle w:val="2"/>
        <w:jc w:val="center"/>
      </w:pPr>
      <w:r>
        <w:rPr>
          <w:sz w:val="24"/>
        </w:rPr>
        <w:t xml:space="preserve">ПРОВЕДЕНИЯ ИНВЕНТАРИЗАЦИИ СБРОСОВ ЗАГРЯЗНЯЮЩИХ ВЕЩЕСТВ</w:t>
      </w:r>
    </w:p>
    <w:p>
      <w:pPr>
        <w:pStyle w:val="2"/>
        <w:jc w:val="center"/>
      </w:pPr>
      <w:r>
        <w:rPr>
          <w:sz w:val="24"/>
        </w:rPr>
        <w:t xml:space="preserve">В ОКРУЖАЮЩУЮ СРЕДУ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r>
        <w:rPr>
          <w:sz w:val="24"/>
        </w:rPr>
        <w:t xml:space="preserve">пунктом 11 статьи 22</w:t>
      </w:r>
      <w:r>
        <w:rPr>
          <w:sz w:val="24"/>
        </w:rPr>
        <w:t xml:space="preserve"> Федерального закона "Об охране окружающей среды" Правительство Российской Федерации постановляет: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Утвердить прилагаемые </w:t>
      </w:r>
      <w:hyperlink w:history="0" w:anchor="P26" w:tooltip="ПРАВИЛА">
        <w:r>
          <w:rPr>
            <w:sz w:val="24"/>
            <w:color w:val="0000ff"/>
          </w:rPr>
          <w:t xml:space="preserve">Правила</w:t>
        </w:r>
      </w:hyperlink>
      <w:r>
        <w:rPr>
          <w:sz w:val="24"/>
        </w:rPr>
        <w:t xml:space="preserve"> проведения инвентаризации сбросов загрязняющих веществ в окружающую среду.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Председатель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Д.МЕДВЕДЕВ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13 июля 2019 г. N 891</w:t>
      </w:r>
    </w:p>
    <w:p>
      <w:pPr>
        <w:pStyle w:val="0"/>
        <w:jc w:val="both"/>
      </w:pPr>
      <w:r>
        <w:rPr>
          <w:sz w:val="24"/>
        </w:rPr>
      </w:r>
    </w:p>
    <w:bookmarkStart w:id="26" w:name="P26"/>
    <w:bookmarkEnd w:id="26"/>
    <w:p>
      <w:pPr>
        <w:pStyle w:val="2"/>
        <w:jc w:val="center"/>
      </w:pPr>
      <w:r>
        <w:rPr>
          <w:sz w:val="24"/>
        </w:rPr>
        <w:t xml:space="preserve">ПРАВИЛА</w:t>
      </w:r>
    </w:p>
    <w:p>
      <w:pPr>
        <w:pStyle w:val="2"/>
        <w:jc w:val="center"/>
      </w:pPr>
      <w:r>
        <w:rPr>
          <w:sz w:val="24"/>
        </w:rPr>
        <w:t xml:space="preserve">ПРОВЕДЕНИЯ ИНВЕНТАРИЗАЦИИ СБРОСОВ ЗАГРЯЗНЯЮЩИХ ВЕЩЕСТВ</w:t>
      </w:r>
    </w:p>
    <w:p>
      <w:pPr>
        <w:pStyle w:val="2"/>
        <w:jc w:val="center"/>
      </w:pPr>
      <w:r>
        <w:rPr>
          <w:sz w:val="24"/>
        </w:rPr>
        <w:t xml:space="preserve">В ОКРУЖАЮЩУЮ СРЕДУ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Настоящие Правила определяют порядок проведения организациями, осуществляющими водоотведение, эксплуатирующими централизованные системы водоотведения поселений или городских округов, отдельные объекты таких систем со сбросом сточных вод в водные объекты (далее соответственно - централизованные системы водоотведения, организации), инвентаризации сбросов загрязняющих веществ в окружающую среду объектами организаций (далее - инвентаризация).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Инвентаризация проводится с целью определения загрязняющих веществ, в отношении которых в порядке, установленном законодательством Российской Федерации об охране окружающей среды, рассчитываются нормативы допустимых сбросов для объектов организации.</w:t>
      </w:r>
    </w:p>
    <w:bookmarkStart w:id="32" w:name="P32"/>
    <w:bookmarkEnd w:id="32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Инвентаризация проводится организацией на основе результатов анализа состава сточных вод, сбрасываемых в водный объект объектами централизованных систем водоотведения, за период, составляющий 12 календарных месяцев подряд. Отбор последней из проб сточных вод, необходимых для проведения инвентаризации, должен быть осуществлен не ранее чем за 6 месяцев, предшествующих дате подачи организацией заявки на получение комплексного экологического разрешения либо декларации о воздействии на окружающую среду.</w:t>
      </w:r>
    </w:p>
    <w:bookmarkStart w:id="33" w:name="P33"/>
    <w:bookmarkEnd w:id="33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В случае если фактический сброс сточных вод в водный объект объектами централизованных систем водоотведения не осуществляется (в том числе при проектировании или строительстве объектов централизованных систем водоотведения) либо осуществлялся менее чем в течение 12 календарных месяцев подряд, то для целей определения перечня загрязняющих веществ, содержание которых в сточных водах организации превышает предельно допустимые концентрации, на основании которого разрабатываются нормативы допустимых сбросов для объектов организации (далее - перечень загрязняющих веществ, на основании которого разрабатываются нормативы допустимых сбросов для объектов организации), в него могут быть включены все загрязняющие вещества по перечню согласно </w:t>
      </w:r>
      <w:hyperlink w:history="0" w:anchor="P73" w:tooltip="ПЕРЕЧЕНЬ">
        <w:r>
          <w:rPr>
            <w:sz w:val="24"/>
            <w:color w:val="0000ff"/>
          </w:rPr>
          <w:t xml:space="preserve">приложению N 1</w:t>
        </w:r>
      </w:hyperlink>
      <w:r>
        <w:rPr>
          <w:sz w:val="24"/>
        </w:rPr>
        <w:t xml:space="preserve">, а также загрязняющие вещества, указанные в </w:t>
      </w:r>
      <w:hyperlink w:history="0" w:anchor="P36" w:tooltip="7. В случае если в утвержденных в установленном порядке нормативах допустимого воздействия на водный объект (водохозяйственный участок водного объекта), в который осуществляется сброс сточных вод от объекта централизованной системы водоотведения, содержатся загрязняющие вещества, не указанные в приложении N 1 к настоящим Правилам, инвентаризация проводится также дополнительно в отношении указанных загрязняющих веществ (при условии, что они содержатся в перечне загрязняющих веществ, в отношении которых пр...">
        <w:r>
          <w:rPr>
            <w:sz w:val="24"/>
            <w:color w:val="0000ff"/>
          </w:rPr>
          <w:t xml:space="preserve">пункте 7</w:t>
        </w:r>
      </w:hyperlink>
      <w:r>
        <w:rPr>
          <w:sz w:val="24"/>
        </w:rPr>
        <w:t xml:space="preserve"> настоящих Правил.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В процессе инвентаризации проводится оценка результатов анализа состава сточных вод, сбрасываемых объектами централизованных систем водоотведения в водные объекты, для выявления загрязняющих веществ из загрязняющих веществ, указанных в </w:t>
      </w:r>
      <w:hyperlink w:history="0" w:anchor="P73" w:tooltip="ПЕРЕЧЕНЬ">
        <w:r>
          <w:rPr>
            <w:sz w:val="24"/>
            <w:color w:val="0000ff"/>
          </w:rPr>
          <w:t xml:space="preserve">приложении N 1</w:t>
        </w:r>
      </w:hyperlink>
      <w:r>
        <w:rPr>
          <w:sz w:val="24"/>
        </w:rPr>
        <w:t xml:space="preserve"> к настоящим Правилам, а также загрязняющих веществ, указанных в </w:t>
      </w:r>
      <w:hyperlink w:history="0" w:anchor="P36" w:tooltip="7. В случае если в утвержденных в установленном порядке нормативах допустимого воздействия на водный объект (водохозяйственный участок водного объекта), в который осуществляется сброс сточных вод от объекта централизованной системы водоотведения, содержатся загрязняющие вещества, не указанные в приложении N 1 к настоящим Правилам, инвентаризация проводится также дополнительно в отношении указанных загрязняющих веществ (при условии, что они содержатся в перечне загрязняющих веществ, в отношении которых пр...">
        <w:r>
          <w:rPr>
            <w:sz w:val="24"/>
            <w:color w:val="0000ff"/>
          </w:rPr>
          <w:t xml:space="preserve">пункте 7</w:t>
        </w:r>
      </w:hyperlink>
      <w:r>
        <w:rPr>
          <w:sz w:val="24"/>
        </w:rPr>
        <w:t xml:space="preserve"> настоящих Правил, содержание которых в сбрасываемых сточных водах превышает установленные значения предельно допустимых концентраций загрязняющих веществ в воде водных объектов (далее - предельно допустимые концентрации).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6. В случае одновременного использования водного объекта или его части для различных нужд оценка результатов анализа состава сточных вод, сбрасываемых объектами централизованных систем водоотведения в этот водный объект, проводится для выявления загрязняющих веществ, содержание которых в сбрасываемых сточных водах превышает наименьшие значения предельно допустимых концентраций из числа установленных.</w:t>
      </w:r>
    </w:p>
    <w:bookmarkStart w:id="36" w:name="P36"/>
    <w:bookmarkEnd w:id="36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7. В случае если в утвержденных в установленном порядке нормативах допустимого воздействия на водный объект (водохозяйственный участок водного объекта), в который осуществляется сброс сточных вод от объекта централизованной системы водоотведения, содержатся загрязняющие вещества, не указанные в </w:t>
      </w:r>
      <w:hyperlink w:history="0" w:anchor="P73" w:tooltip="ПЕРЕЧЕНЬ">
        <w:r>
          <w:rPr>
            <w:sz w:val="24"/>
            <w:color w:val="0000ff"/>
          </w:rPr>
          <w:t xml:space="preserve">приложении N 1</w:t>
        </w:r>
      </w:hyperlink>
      <w:r>
        <w:rPr>
          <w:sz w:val="24"/>
        </w:rPr>
        <w:t xml:space="preserve"> к настоящим Правилам, инвентаризация проводится также дополнительно в отношении указанных загрязняющих веществ (при условии, что они содержатся в </w:t>
      </w:r>
      <w:r>
        <w:rPr>
          <w:sz w:val="24"/>
        </w:rPr>
        <w:t xml:space="preserve">перечне</w:t>
      </w:r>
      <w:r>
        <w:rPr>
          <w:sz w:val="24"/>
        </w:rPr>
        <w:t xml:space="preserve"> загрязняющих веществ, в отношении которых применяются меры государственного регулирования в области охраны окружающей среды, утвержденном распоряжением Правительства Российской Федерации от 8 июля 2015 г. N 1316-р, а также имеются методики (методы) измерения таких загрязняющих веществ в сточных водах).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8. Организация проводит оценку результатов анализа состава сточных вод, сбрасываемых объектами централизованных систем водоотведения в водные объекты, на наличие: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а) загрязняющих веществ, указанных в </w:t>
      </w:r>
      <w:hyperlink w:history="0" w:anchor="P79" w:tooltip="Раздел I">
        <w:r>
          <w:rPr>
            <w:sz w:val="24"/>
            <w:color w:val="0000ff"/>
          </w:rPr>
          <w:t xml:space="preserve">разделе I</w:t>
        </w:r>
      </w:hyperlink>
      <w:r>
        <w:rPr>
          <w:sz w:val="24"/>
        </w:rPr>
        <w:t xml:space="preserve"> приложения N 1 к настоящим Правилам, а также (в случаях, предусмотренных </w:t>
      </w:r>
      <w:hyperlink w:history="0" w:anchor="P36" w:tooltip="7. В случае если в утвержденных в установленном порядке нормативах допустимого воздействия на водный объект (водохозяйственный участок водного объекта), в который осуществляется сброс сточных вод от объекта централизованной системы водоотведения, содержатся загрязняющие вещества, не указанные в приложении N 1 к настоящим Правилам, инвентаризация проводится также дополнительно в отношении указанных загрязняющих веществ (при условии, что они содержатся в перечне загрязняющих веществ, в отношении которых пр...">
        <w:r>
          <w:rPr>
            <w:sz w:val="24"/>
            <w:color w:val="0000ff"/>
          </w:rPr>
          <w:t xml:space="preserve">пунктами 7</w:t>
        </w:r>
      </w:hyperlink>
      <w:r>
        <w:rPr>
          <w:sz w:val="24"/>
        </w:rPr>
        <w:t xml:space="preserve"> и </w:t>
      </w:r>
      <w:hyperlink w:history="0" w:anchor="P57" w:tooltip="17. В случае если при утверждении в установленном порядке новых нормативов допустимого воздействия на водный объект, в который осуществляется сброс сточных вод от объекта централизованной системы водоотведения, выявлены иные загрязняющие вещества, не относящиеся к технологически нормируемым веществам, в отношении которых ранее инвентаризация не проводилась, организацией до истечения сроков действия результатов инвентаризации, указанных в подпункте &quot;а&quot; пункта 15 настоящих Правил, проводится инвентаризация...">
        <w:r>
          <w:rPr>
            <w:sz w:val="24"/>
            <w:color w:val="0000ff"/>
          </w:rPr>
          <w:t xml:space="preserve">17</w:t>
        </w:r>
      </w:hyperlink>
      <w:r>
        <w:rPr>
          <w:sz w:val="24"/>
        </w:rPr>
        <w:t xml:space="preserve"> настоящих Правил) загрязняющих веществ в составе утвержденных в установленном порядке нормативов допустимого воздействия на водный объект (водохозяйственный участок водного объекта), в который осуществляется сброс сточных вод организации, - для объектов централизованных бытовых, общесплавных систем водоотведения, а также централизованных комбинированных систем водоотведения (в отношении входящих в их состав централизованных бытовых и общесплавных систем водоотведения);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б) загрязняющих веществ, указанных в </w:t>
      </w:r>
      <w:hyperlink w:history="0" w:anchor="P147" w:tooltip="Раздел II">
        <w:r>
          <w:rPr>
            <w:sz w:val="24"/>
            <w:color w:val="0000ff"/>
          </w:rPr>
          <w:t xml:space="preserve">разделе II</w:t>
        </w:r>
      </w:hyperlink>
      <w:r>
        <w:rPr>
          <w:sz w:val="24"/>
        </w:rPr>
        <w:t xml:space="preserve"> приложения N 1 к настоящим Правилам, а также (в случаях, предусмотренных </w:t>
      </w:r>
      <w:hyperlink w:history="0" w:anchor="P36" w:tooltip="7. В случае если в утвержденных в установленном порядке нормативах допустимого воздействия на водный объект (водохозяйственный участок водного объекта), в который осуществляется сброс сточных вод от объекта централизованной системы водоотведения, содержатся загрязняющие вещества, не указанные в приложении N 1 к настоящим Правилам, инвентаризация проводится также дополнительно в отношении указанных загрязняющих веществ (при условии, что они содержатся в перечне загрязняющих веществ, в отношении которых пр...">
        <w:r>
          <w:rPr>
            <w:sz w:val="24"/>
            <w:color w:val="0000ff"/>
          </w:rPr>
          <w:t xml:space="preserve">пунктами 7</w:t>
        </w:r>
      </w:hyperlink>
      <w:r>
        <w:rPr>
          <w:sz w:val="24"/>
        </w:rPr>
        <w:t xml:space="preserve"> и </w:t>
      </w:r>
      <w:hyperlink w:history="0" w:anchor="P57" w:tooltip="17. В случае если при утверждении в установленном порядке новых нормативов допустимого воздействия на водный объект, в который осуществляется сброс сточных вод от объекта централизованной системы водоотведения, выявлены иные загрязняющие вещества, не относящиеся к технологически нормируемым веществам, в отношении которых ранее инвентаризация не проводилась, организацией до истечения сроков действия результатов инвентаризации, указанных в подпункте &quot;а&quot; пункта 15 настоящих Правил, проводится инвентаризация...">
        <w:r>
          <w:rPr>
            <w:sz w:val="24"/>
            <w:color w:val="0000ff"/>
          </w:rPr>
          <w:t xml:space="preserve">17</w:t>
        </w:r>
      </w:hyperlink>
      <w:r>
        <w:rPr>
          <w:sz w:val="24"/>
        </w:rPr>
        <w:t xml:space="preserve"> настоящих Правил) загрязняющих веществ в составе утвержденных в установленном порядке нормативов допустимого воздействия на водный объект, в который осуществляется сброс сточных вод организации, - для объектов централизованных ливневых систем водоотведения (в том числе входящих в состав централизованных комбинированных систем водоотведения).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9. Периодичность отбора проб сточных вод, необходимых для проведения инвентаризации, определяется согласно </w:t>
      </w:r>
      <w:hyperlink w:history="0" w:anchor="P183" w:tooltip="ПЕРИОДИЧНОСТЬ">
        <w:r>
          <w:rPr>
            <w:sz w:val="24"/>
            <w:color w:val="0000ff"/>
          </w:rPr>
          <w:t xml:space="preserve">приложению N 2</w:t>
        </w:r>
      </w:hyperlink>
      <w:r>
        <w:rPr>
          <w:sz w:val="24"/>
        </w:rPr>
        <w:t xml:space="preserve">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10. После проведения оценки результатов анализа состава сточных вод, сбрасываемых объектами централизованных систем водоотведения в водные объекты, организацией определяются загрязняющие вещества, максимальная за период инвентаризации концентрация которых в сбрасываемых сточных водах организации превышает предельно допустимые концентрации, из которых формируется перечень загрязняющих веществ, на основании которого разрабатываются нормативы допустимых сбросов для объектов организации.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11. Результаты инвентаризации оформляются в виде отчета об инвентаризации, утверждаемого руководителем организации (или иным должностным лицом, уполномоченным руководителем организации). Отчет об инвентаризации составляется в 2 экземплярах, один из которых хранится организацией, а второй прилагается к расчету нормативов допустимых сбросов, представляемому организацией в уполномоченный Правительством Российской Федерации федеральный орган исполнительной власти или орган исполнительной власти субъекта Российской Федерации в случаях и порядке, которые установлены законодательством Российской Федерации об охране окружающей среды.</w:t>
      </w:r>
    </w:p>
    <w:bookmarkStart w:id="43" w:name="P43"/>
    <w:bookmarkEnd w:id="43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12. Отчет об инвентаризации содержит (за исключением отчета об инвентаризации, указанного в </w:t>
      </w:r>
      <w:hyperlink w:history="0" w:anchor="P49" w:tooltip="13. В случаях, предусмотренных пунктом 4 настоящих Правил, отчет об инвентаризации содержит перечень загрязняющих веществ, на основании которого разрабатываются нормативы допустимых сбросов для объектов организации, включающий:">
        <w:r>
          <w:rPr>
            <w:sz w:val="24"/>
            <w:color w:val="0000ff"/>
          </w:rPr>
          <w:t xml:space="preserve">пункте 13</w:t>
        </w:r>
      </w:hyperlink>
      <w:r>
        <w:rPr>
          <w:sz w:val="24"/>
        </w:rPr>
        <w:t xml:space="preserve"> настоящих Правил):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а) загрязняющие вещества, в отношении которых проводилась инвентаризация;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б) реквизиты аттестатов аккредитации испытательных лабораторий (центров), аккредитованных в соответствии с законодательством Российской Федерации об аккредитации в национальной системе аккредитации, осуществлявших анализ состава сточных вод, сбрасываемых объектами централизованных систем водоотведения в водные объекты, для выявления загрязняющих веществ, содержание которых в сбрасываемых сточных водах превышает установленные значения предельно допустимых концентраций, с указанием информации об области аккредитации таких испытательных лабораторий (центров);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в) протоколы количественного химического анализа и акты отборов проб сточных вод с указанием мест отбора проб сточных вод, выполненные в соответствии с законодательством Российской Федерации об обеспечении единства измерений;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г) сравнение (оценку) результатов количественного химического анализа проб сточных вод с предельно допустимыми концентрациями;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д) перечень загрязняющих веществ, на основании которого разрабатываются нормативы допустимых сбросов для объектов организации.</w:t>
      </w:r>
    </w:p>
    <w:bookmarkStart w:id="49" w:name="P49"/>
    <w:bookmarkEnd w:id="49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13. В случаях, предусмотренных </w:t>
      </w:r>
      <w:hyperlink w:history="0" w:anchor="P33" w:tooltip="4. В случае если фактический сброс сточных вод в водный объект объектами централизованных систем водоотведения не осуществляется (в том числе при проектировании или строительстве объектов централизованных систем водоотведения) либо осуществлялся менее чем в течение 12 календарных месяцев подряд, то для целей определения перечня загрязняющих веществ, содержание которых в сточных водах организации превышает предельно допустимые концентрации, на основании которого разрабатываются нормативы допустимых сбросо...">
        <w:r>
          <w:rPr>
            <w:sz w:val="24"/>
            <w:color w:val="0000ff"/>
          </w:rPr>
          <w:t xml:space="preserve">пунктом 4</w:t>
        </w:r>
      </w:hyperlink>
      <w:r>
        <w:rPr>
          <w:sz w:val="24"/>
        </w:rPr>
        <w:t xml:space="preserve"> настоящих Правил, отчет об инвентаризации содержит перечень загрязняющих веществ, на основании которого разрабатываются нормативы допустимых сбросов для объектов организации, включающий: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а) загрязняющие вещества, содержащиеся в соответствующем разделе </w:t>
      </w:r>
      <w:hyperlink w:history="0" w:anchor="P73" w:tooltip="ПЕРЕЧЕНЬ">
        <w:r>
          <w:rPr>
            <w:sz w:val="24"/>
            <w:color w:val="0000ff"/>
          </w:rPr>
          <w:t xml:space="preserve">приложения N 1</w:t>
        </w:r>
      </w:hyperlink>
      <w:r>
        <w:rPr>
          <w:sz w:val="24"/>
        </w:rPr>
        <w:t xml:space="preserve"> к настоящим Правилам;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б) загрязняющие вещества, содержащиеся в утвержденных в установленном порядке нормативах допустимого воздействия на водный объект (водохозяйственный участок водного объекта), в случае, если такие загрязняющие вещества не указаны в соответствующем разделе </w:t>
      </w:r>
      <w:hyperlink w:history="0" w:anchor="P73" w:tooltip="ПЕРЕЧЕНЬ">
        <w:r>
          <w:rPr>
            <w:sz w:val="24"/>
            <w:color w:val="0000ff"/>
          </w:rPr>
          <w:t xml:space="preserve">приложения N 1</w:t>
        </w:r>
      </w:hyperlink>
      <w:r>
        <w:rPr>
          <w:sz w:val="24"/>
        </w:rPr>
        <w:t xml:space="preserve"> к настоящим Правилам.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14. В случае, предусмотренном </w:t>
      </w:r>
      <w:hyperlink w:history="0" w:anchor="P61" w:tooltip="20. При составлении отчета об инвентаризации в отношении сброса загрязняющих веществ от объекта организации впервые (в случае, если отчет об инвентаризации утвержден не позднее 31 декабря 2020 г.) организация, осуществляющая водоотведение, вправе использовать результаты инвентаризации, проведенной в соответствии с требованиями настоящих Правил, или результаты производственного экологического контроля в отношении отдельных загрязняющих веществ, указанных в соответствующем разделе приложения N 1 к настоящи...">
        <w:r>
          <w:rPr>
            <w:sz w:val="24"/>
            <w:color w:val="0000ff"/>
          </w:rPr>
          <w:t xml:space="preserve">пунктом 20</w:t>
        </w:r>
      </w:hyperlink>
      <w:r>
        <w:rPr>
          <w:sz w:val="24"/>
        </w:rPr>
        <w:t xml:space="preserve"> настоящих Правил, отчет об инвентаризации содержит информацию, указанную в </w:t>
      </w:r>
      <w:hyperlink w:history="0" w:anchor="P43" w:tooltip="12. Отчет об инвентаризации содержит (за исключением отчета об инвентаризации, указанного в пункте 13 настоящих Правил):">
        <w:r>
          <w:rPr>
            <w:sz w:val="24"/>
            <w:color w:val="0000ff"/>
          </w:rPr>
          <w:t xml:space="preserve">пункте 12</w:t>
        </w:r>
      </w:hyperlink>
      <w:r>
        <w:rPr>
          <w:sz w:val="24"/>
        </w:rPr>
        <w:t xml:space="preserve"> настоящих Правил (для загрязняющих веществ, в отношении которых проводилось сравнение (оценка) результатов количественного химического анализа проб сточных вод с предельно допустимыми концентрациями). Загрязняющие вещества, указанные в соответствующем разделе </w:t>
      </w:r>
      <w:hyperlink w:history="0" w:anchor="P73" w:tooltip="ПЕРЕЧЕНЬ">
        <w:r>
          <w:rPr>
            <w:sz w:val="24"/>
            <w:color w:val="0000ff"/>
          </w:rPr>
          <w:t xml:space="preserve">приложения N 1</w:t>
        </w:r>
      </w:hyperlink>
      <w:r>
        <w:rPr>
          <w:sz w:val="24"/>
        </w:rPr>
        <w:t xml:space="preserve"> к настоящим Правилам, а также загрязняющие вещества, указанные в </w:t>
      </w:r>
      <w:hyperlink w:history="0" w:anchor="P36" w:tooltip="7. В случае если в утвержденных в установленном порядке нормативах допустимого воздействия на водный объект (водохозяйственный участок водного объекта), в который осуществляется сброс сточных вод от объекта централизованной системы водоотведения, содержатся загрязняющие вещества, не указанные в приложении N 1 к настоящим Правилам, инвентаризация проводится также дополнительно в отношении указанных загрязняющих веществ (при условии, что они содержатся в перечне загрязняющих веществ, в отношении которых пр...">
        <w:r>
          <w:rPr>
            <w:sz w:val="24"/>
            <w:color w:val="0000ff"/>
          </w:rPr>
          <w:t xml:space="preserve">пункте 7</w:t>
        </w:r>
      </w:hyperlink>
      <w:r>
        <w:rPr>
          <w:sz w:val="24"/>
        </w:rPr>
        <w:t xml:space="preserve"> настоящих Правил, в отношении которых сравнение (оценка) результатов количественного химического анализа проб сточных вод с предельно допустимыми концентрациями не проводилось, включаются в перечень загрязняющих веществ, на основании которого разрабатываются нормативы допустимых сбросов для объектов организации.</w:t>
      </w:r>
    </w:p>
    <w:bookmarkStart w:id="53" w:name="P53"/>
    <w:bookmarkEnd w:id="53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15. Результаты инвентаризации действуют:</w:t>
      </w:r>
    </w:p>
    <w:bookmarkStart w:id="54" w:name="P54"/>
    <w:bookmarkEnd w:id="54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а) с даты утверждения отчета об инвентаризации до окончания срока действия комплексного экологического разрешения, получаемого с учетом результатов инвентаризации, или до окончания срока действия декларации о воздействии на окружающую среду, представляемой с учетом результатов инвентаризации;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б) до утверждения отчета об инвентаризации, проведенной позднее в отношении сброса загрязняющих веществ от объекта организации.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16. Организация, осуществляющая водоотведение, вправе в добровольном порядке провести инвентаризацию до истечения срока действия результатов инвентаризации, указанного в </w:t>
      </w:r>
      <w:hyperlink w:history="0" w:anchor="P54" w:tooltip="а) с даты утверждения отчета об инвентаризации до окончания срока действия комплексного экологического разрешения, получаемого с учетом результатов инвентаризации, или до окончания срока действия декларации о воздействии на окружающую среду, представляемой с учетом результатов инвентаризации;">
        <w:r>
          <w:rPr>
            <w:sz w:val="24"/>
            <w:color w:val="0000ff"/>
          </w:rPr>
          <w:t xml:space="preserve">подпункте "а" пункта 15</w:t>
        </w:r>
      </w:hyperlink>
      <w:r>
        <w:rPr>
          <w:sz w:val="24"/>
        </w:rPr>
        <w:t xml:space="preserve"> настоящих Правил.</w:t>
      </w:r>
    </w:p>
    <w:bookmarkStart w:id="57" w:name="P57"/>
    <w:bookmarkEnd w:id="57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17. В случае если при утверждении в установленном порядке новых нормативов допустимого воздействия на водный объект, в который осуществляется сброс сточных вод от объекта централизованной системы водоотведения, выявлены иные загрязняющие вещества, не относящиеся к технологически нормируемым веществам, в отношении которых ранее инвентаризация не проводилась, организацией до истечения сроков действия результатов инвентаризации, указанных в </w:t>
      </w:r>
      <w:hyperlink w:history="0" w:anchor="P54" w:tooltip="а) с даты утверждения отчета об инвентаризации до окончания срока действия комплексного экологического разрешения, получаемого с учетом результатов инвентаризации, или до окончания срока действия декларации о воздействии на окружающую среду, представляемой с учетом результатов инвентаризации;">
        <w:r>
          <w:rPr>
            <w:sz w:val="24"/>
            <w:color w:val="0000ff"/>
          </w:rPr>
          <w:t xml:space="preserve">подпункте "а" пункта 15</w:t>
        </w:r>
      </w:hyperlink>
      <w:r>
        <w:rPr>
          <w:sz w:val="24"/>
        </w:rPr>
        <w:t xml:space="preserve"> настоящих Правил, проводится инвентаризация в отношении указанных выявленных загрязняющих веществ.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Проведение инвентаризации до истечения сроков действия результатов инвентаризации, указанных в </w:t>
      </w:r>
      <w:hyperlink w:history="0" w:anchor="P54" w:tooltip="а) с даты утверждения отчета об инвентаризации до окончания срока действия комплексного экологического разрешения, получаемого с учетом результатов инвентаризации, или до окончания срока действия декларации о воздействии на окружающую среду, представляемой с учетом результатов инвентаризации;">
        <w:r>
          <w:rPr>
            <w:sz w:val="24"/>
            <w:color w:val="0000ff"/>
          </w:rPr>
          <w:t xml:space="preserve">подпункте "а" пункта 15</w:t>
        </w:r>
      </w:hyperlink>
      <w:r>
        <w:rPr>
          <w:sz w:val="24"/>
        </w:rPr>
        <w:t xml:space="preserve"> настоящих Правил, в случаях, предусмотренных настоящим пунктом, осуществляется в срок не позднее 18 месяцев со дня размещения на официальном сайте федерального органа исполнительной власти, уполномоченного на утверждение нормативов допустимого воздействия на водный объект, в информационно-телекоммуникационной сети "Интернет" утвержденных в установленном порядке новых нормативов допустимого воздействия на водный объект, в который осуществляется сброс сточных вод от объекта централизованной системы водоотведения.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18. Решение о проведении инвентаризации до истечения сроков действия результатов инвентаризации, указанных в </w:t>
      </w:r>
      <w:hyperlink w:history="0" w:anchor="P53" w:tooltip="15. Результаты инвентаризации действуют:">
        <w:r>
          <w:rPr>
            <w:sz w:val="24"/>
            <w:color w:val="0000ff"/>
          </w:rPr>
          <w:t xml:space="preserve">пункте 15</w:t>
        </w:r>
      </w:hyperlink>
      <w:r>
        <w:rPr>
          <w:sz w:val="24"/>
        </w:rPr>
        <w:t xml:space="preserve"> настоящих Правил, оформляется приказом организации.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19. При составлении отчета об инвентаризации в отношении сброса загрязняющих веществ от объекта организации впервые (в случае, если отчет об инвентаризации утвержден не позднее 31 декабря 2020 г.) организация вправе в качестве результатов анализа состава сточных вод, указанных в </w:t>
      </w:r>
      <w:hyperlink w:history="0" w:anchor="P32" w:tooltip="3. Инвентаризация проводится организацией на основе результатов анализа состава сточных вод, сбрасываемых в водный объект объектами централизованных систем водоотведения, за период, составляющий 12 календарных месяцев подряд. Отбор последней из проб сточных вод, необходимых для проведения инвентаризации, должен быть осуществлен не ранее чем за 6 месяцев, предшествующих дате подачи организацией заявки на получение комплексного экологического разрешения либо декларации о воздействии на окружающую среду.">
        <w:r>
          <w:rPr>
            <w:sz w:val="24"/>
            <w:color w:val="0000ff"/>
          </w:rPr>
          <w:t xml:space="preserve">пункте 3</w:t>
        </w:r>
      </w:hyperlink>
      <w:r>
        <w:rPr>
          <w:sz w:val="24"/>
        </w:rPr>
        <w:t xml:space="preserve"> настоящих Правил, использовать результаты производственного экологического контроля, проводимого до вступления в силу настоящих Правил (при условии соблюдения требований, установленных </w:t>
      </w:r>
      <w:hyperlink w:history="0" w:anchor="P32" w:tooltip="3. Инвентаризация проводится организацией на основе результатов анализа состава сточных вод, сбрасываемых в водный объект объектами централизованных систем водоотведения, за период, составляющий 12 календарных месяцев подряд. Отбор последней из проб сточных вод, необходимых для проведения инвентаризации, должен быть осуществлен не ранее чем за 6 месяцев, предшествующих дате подачи организацией заявки на получение комплексного экологического разрешения либо декларации о воздействии на окружающую среду.">
        <w:r>
          <w:rPr>
            <w:sz w:val="24"/>
            <w:color w:val="0000ff"/>
          </w:rPr>
          <w:t xml:space="preserve">пунктом 3</w:t>
        </w:r>
      </w:hyperlink>
      <w:r>
        <w:rPr>
          <w:sz w:val="24"/>
        </w:rPr>
        <w:t xml:space="preserve"> настоящих Правил, а также требований к периодичности отбора проб сточных вод, необходимых для проведения инвентаризации, определяемой в соответствии с </w:t>
      </w:r>
      <w:hyperlink w:history="0" w:anchor="P183" w:tooltip="ПЕРИОДИЧНОСТЬ">
        <w:r>
          <w:rPr>
            <w:sz w:val="24"/>
            <w:color w:val="0000ff"/>
          </w:rPr>
          <w:t xml:space="preserve">приложением N 2</w:t>
        </w:r>
      </w:hyperlink>
      <w:r>
        <w:rPr>
          <w:sz w:val="24"/>
        </w:rPr>
        <w:t xml:space="preserve"> к настоящим Правилам).</w:t>
      </w:r>
    </w:p>
    <w:bookmarkStart w:id="61" w:name="P61"/>
    <w:bookmarkEnd w:id="61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20. При составлении отчета об инвентаризации в отношении сброса загрязняющих веществ от объекта организации впервые (в случае, если отчет об инвентаризации утвержден не позднее 31 декабря 2020 г.) организация, осуществляющая водоотведение, вправе использовать результаты инвентаризации, проведенной в соответствии с требованиями настоящих Правил, или результаты производственного экологического контроля в отношении отдельных загрязняющих веществ, указанных в соответствующем разделе </w:t>
      </w:r>
      <w:hyperlink w:history="0" w:anchor="P73" w:tooltip="ПЕРЕЧЕНЬ">
        <w:r>
          <w:rPr>
            <w:sz w:val="24"/>
            <w:color w:val="0000ff"/>
          </w:rPr>
          <w:t xml:space="preserve">приложения N 1</w:t>
        </w:r>
      </w:hyperlink>
      <w:r>
        <w:rPr>
          <w:sz w:val="24"/>
        </w:rPr>
        <w:t xml:space="preserve"> к настоящим Правилам, а также в отношении отдельных загрязняющих веществ, указанных в </w:t>
      </w:r>
      <w:hyperlink w:history="0" w:anchor="P36" w:tooltip="7. В случае если в утвержденных в установленном порядке нормативах допустимого воздействия на водный объект (водохозяйственный участок водного объекта), в который осуществляется сброс сточных вод от объекта централизованной системы водоотведения, содержатся загрязняющие вещества, не указанные в приложении N 1 к настоящим Правилам, инвентаризация проводится также дополнительно в отношении указанных загрязняющих веществ (при условии, что они содержатся в перечне загрязняющих веществ, в отношении которых пр...">
        <w:r>
          <w:rPr>
            <w:sz w:val="24"/>
            <w:color w:val="0000ff"/>
          </w:rPr>
          <w:t xml:space="preserve">пункте 7</w:t>
        </w:r>
      </w:hyperlink>
      <w:r>
        <w:rPr>
          <w:sz w:val="24"/>
        </w:rPr>
        <w:t xml:space="preserve"> настоящих Правил. В таком случае загрязняющие вещества, указанные в соответствующем разделе </w:t>
      </w:r>
      <w:hyperlink w:history="0" w:anchor="P73" w:tooltip="ПЕРЕЧЕНЬ">
        <w:r>
          <w:rPr>
            <w:sz w:val="24"/>
            <w:color w:val="0000ff"/>
          </w:rPr>
          <w:t xml:space="preserve">приложения N 1</w:t>
        </w:r>
      </w:hyperlink>
      <w:r>
        <w:rPr>
          <w:sz w:val="24"/>
        </w:rPr>
        <w:t xml:space="preserve"> к настоящим Правилам, а также загрязняющие вещества, указанные в </w:t>
      </w:r>
      <w:hyperlink w:history="0" w:anchor="P36" w:tooltip="7. В случае если в утвержденных в установленном порядке нормативах допустимого воздействия на водный объект (водохозяйственный участок водного объекта), в который осуществляется сброс сточных вод от объекта централизованной системы водоотведения, содержатся загрязняющие вещества, не указанные в приложении N 1 к настоящим Правилам, инвентаризация проводится также дополнительно в отношении указанных загрязняющих веществ (при условии, что они содержатся в перечне загрязняющих веществ, в отношении которых пр...">
        <w:r>
          <w:rPr>
            <w:sz w:val="24"/>
            <w:color w:val="0000ff"/>
          </w:rPr>
          <w:t xml:space="preserve">пункте 7</w:t>
        </w:r>
      </w:hyperlink>
      <w:r>
        <w:rPr>
          <w:sz w:val="24"/>
        </w:rPr>
        <w:t xml:space="preserve"> настоящих Правил, в отношении которых сравнение (оценка) результатов количественного химического анализа проб сточных вод с предельно допустимыми концентрациями не проводилось, включаются в перечень загрязняющих веществ, на основании которого разрабатываются нормативы допустимых сбросов для объектов организации.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right"/>
      </w:pPr>
      <w:r>
        <w:rPr>
          <w:sz w:val="24"/>
        </w:rPr>
        <w:t xml:space="preserve">Приложение N 1</w:t>
      </w:r>
    </w:p>
    <w:p>
      <w:pPr>
        <w:pStyle w:val="0"/>
        <w:jc w:val="right"/>
      </w:pPr>
      <w:r>
        <w:rPr>
          <w:sz w:val="24"/>
        </w:rPr>
        <w:t xml:space="preserve">к Правилам проведения</w:t>
      </w:r>
    </w:p>
    <w:p>
      <w:pPr>
        <w:pStyle w:val="0"/>
        <w:jc w:val="right"/>
      </w:pPr>
      <w:r>
        <w:rPr>
          <w:sz w:val="24"/>
        </w:rPr>
        <w:t xml:space="preserve">инвентаризации сбросов</w:t>
      </w:r>
    </w:p>
    <w:p>
      <w:pPr>
        <w:pStyle w:val="0"/>
        <w:jc w:val="right"/>
      </w:pPr>
      <w:r>
        <w:rPr>
          <w:sz w:val="24"/>
        </w:rPr>
        <w:t xml:space="preserve">загрязняющих веществ</w:t>
      </w:r>
    </w:p>
    <w:p>
      <w:pPr>
        <w:pStyle w:val="0"/>
        <w:jc w:val="right"/>
      </w:pPr>
      <w:r>
        <w:rPr>
          <w:sz w:val="24"/>
        </w:rPr>
        <w:t xml:space="preserve">в окружающую среду</w:t>
      </w:r>
    </w:p>
    <w:p>
      <w:pPr>
        <w:pStyle w:val="0"/>
        <w:jc w:val="both"/>
      </w:pPr>
      <w:r>
        <w:rPr>
          <w:sz w:val="24"/>
        </w:rPr>
      </w:r>
    </w:p>
    <w:bookmarkStart w:id="73" w:name="P73"/>
    <w:bookmarkEnd w:id="73"/>
    <w:p>
      <w:pPr>
        <w:pStyle w:val="2"/>
        <w:jc w:val="center"/>
      </w:pPr>
      <w:r>
        <w:rPr>
          <w:sz w:val="24"/>
        </w:rPr>
        <w:t xml:space="preserve">ПЕРЕЧЕНЬ</w:t>
      </w:r>
    </w:p>
    <w:p>
      <w:pPr>
        <w:pStyle w:val="2"/>
        <w:jc w:val="center"/>
      </w:pPr>
      <w:r>
        <w:rPr>
          <w:sz w:val="24"/>
        </w:rPr>
        <w:t xml:space="preserve">ЗАГРЯЗНЯЮЩИХ ВЕЩЕСТВ, В ОТНОШЕНИИ КОТОРЫХ ПРОВОДИТСЯ</w:t>
      </w:r>
    </w:p>
    <w:p>
      <w:pPr>
        <w:pStyle w:val="2"/>
        <w:jc w:val="center"/>
      </w:pPr>
      <w:r>
        <w:rPr>
          <w:sz w:val="24"/>
        </w:rPr>
        <w:t xml:space="preserve">ИНВЕНТАРИЗАЦИЯ СБРОСОВ ЗАГРЯЗНЯЮЩИХ ВЕЩЕСТВ</w:t>
      </w:r>
    </w:p>
    <w:p>
      <w:pPr>
        <w:pStyle w:val="2"/>
        <w:jc w:val="center"/>
      </w:pPr>
      <w:r>
        <w:rPr>
          <w:sz w:val="24"/>
        </w:rPr>
        <w:t xml:space="preserve">В ОКРУЖАЮЩУЮ СРЕДУ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bottom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75"/>
        <w:gridCol w:w="8386"/>
      </w:tblGrid>
      <w:tr>
        <w:tblPrEx>
          <w:tblBorders>
            <w:insideH w:val="single" w:sz="4"/>
          </w:tblBorders>
        </w:tblPrEx>
        <w:tc>
          <w:tcPr>
            <w:gridSpan w:val="2"/>
            <w:tcW w:w="9061" w:type="dxa"/>
            <w:vAlign w:val="center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загрязняющего вещества</w:t>
            </w:r>
          </w:p>
        </w:tc>
      </w:tr>
      <w:tr>
        <w:tc>
          <w:tcPr>
            <w:gridSpan w:val="2"/>
            <w:tcW w:w="9061" w:type="dxa"/>
            <w:tcBorders>
              <w:top w:val="single" w:sz="4"/>
              <w:left w:val="nil"/>
              <w:bottom w:val="nil"/>
              <w:right w:val="nil"/>
            </w:tcBorders>
          </w:tcPr>
          <w:bookmarkStart w:id="79" w:name="P79"/>
          <w:bookmarkEnd w:id="79"/>
          <w:p>
            <w:pPr>
              <w:pStyle w:val="0"/>
              <w:outlineLvl w:val="2"/>
              <w:jc w:val="center"/>
            </w:pPr>
            <w:r>
              <w:rPr>
                <w:sz w:val="24"/>
              </w:rPr>
              <w:t xml:space="preserve">Раздел I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Для объектов централизованных бытовых, общесплавных систем водоотведения, а также централизованных комбинированных систем водоотведения (в отношении входящих в их состав централизованных бытовых и общесплавных систем водоотведения) </w:t>
            </w:r>
            <w:hyperlink w:history="0" w:anchor="P167" w:tooltip="&lt;1&gt; Для объектов централизованных бытовых, общесплавных и комбинированных систем водоотведения с проектной мощностью очистных сооружений менее 4000 м3/сут инвентаризация осуществляется в отношении загрязняющих веществ указанных в пунктах 1 - 26 настоящего перечня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</w:tr>
      <w:t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bookmarkStart w:id="81" w:name="P81"/>
          <w:bookmarkEnd w:id="81"/>
          <w:p>
            <w:pPr>
              <w:pStyle w:val="0"/>
              <w:jc w:val="center"/>
            </w:pPr>
            <w:r>
              <w:rPr>
                <w:sz w:val="24"/>
              </w:rPr>
              <w:t xml:space="preserve">1.</w:t>
            </w:r>
          </w:p>
        </w:tc>
        <w:tc>
          <w:tcPr>
            <w:tcW w:w="83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Нефтепродукты (нефть)</w:t>
            </w:r>
          </w:p>
        </w:tc>
      </w:tr>
      <w:t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2.</w:t>
            </w:r>
          </w:p>
        </w:tc>
        <w:tc>
          <w:tcPr>
            <w:tcW w:w="83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Фенол, гидроксибензол</w:t>
            </w:r>
          </w:p>
        </w:tc>
      </w:tr>
      <w:t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3.</w:t>
            </w:r>
          </w:p>
        </w:tc>
        <w:tc>
          <w:tcPr>
            <w:tcW w:w="83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Сульфат-анион (сульфаты)</w:t>
            </w:r>
          </w:p>
        </w:tc>
      </w:tr>
      <w:t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4.</w:t>
            </w:r>
          </w:p>
        </w:tc>
        <w:tc>
          <w:tcPr>
            <w:tcW w:w="83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Хлорид-анион (хлориды)</w:t>
            </w:r>
          </w:p>
        </w:tc>
      </w:tr>
      <w:t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5.</w:t>
            </w:r>
          </w:p>
        </w:tc>
        <w:tc>
          <w:tcPr>
            <w:tcW w:w="83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Алюминий</w:t>
            </w:r>
          </w:p>
        </w:tc>
      </w:tr>
      <w:t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6.</w:t>
            </w:r>
          </w:p>
        </w:tc>
        <w:tc>
          <w:tcPr>
            <w:tcW w:w="83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Железо</w:t>
            </w:r>
          </w:p>
        </w:tc>
      </w:tr>
      <w:t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7.</w:t>
            </w:r>
          </w:p>
        </w:tc>
        <w:tc>
          <w:tcPr>
            <w:tcW w:w="83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Марганец</w:t>
            </w:r>
          </w:p>
        </w:tc>
      </w:tr>
      <w:t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8.</w:t>
            </w:r>
          </w:p>
        </w:tc>
        <w:tc>
          <w:tcPr>
            <w:tcW w:w="83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Медь</w:t>
            </w:r>
          </w:p>
        </w:tc>
      </w:tr>
      <w:t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9.</w:t>
            </w:r>
          </w:p>
        </w:tc>
        <w:tc>
          <w:tcPr>
            <w:tcW w:w="83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Цинк</w:t>
            </w:r>
          </w:p>
        </w:tc>
      </w:tr>
      <w:t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10.</w:t>
            </w:r>
          </w:p>
        </w:tc>
        <w:tc>
          <w:tcPr>
            <w:tcW w:w="83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Хром трехвалентный</w:t>
            </w:r>
          </w:p>
        </w:tc>
      </w:tr>
      <w:t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11.</w:t>
            </w:r>
          </w:p>
        </w:tc>
        <w:tc>
          <w:tcPr>
            <w:tcW w:w="83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Хром шестивалентный</w:t>
            </w:r>
          </w:p>
        </w:tc>
      </w:tr>
      <w:t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12.</w:t>
            </w:r>
          </w:p>
        </w:tc>
        <w:tc>
          <w:tcPr>
            <w:tcW w:w="83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Хлор свободный, растворенный и хлорорганические соединения </w:t>
            </w:r>
            <w:hyperlink w:history="0" w:anchor="P168" w:tooltip="&lt;2&gt; Инвентаризация в отношении такого загрязняющего вещества осуществляется:">
              <w:r>
                <w:rPr>
                  <w:sz w:val="24"/>
                  <w:color w:val="0000ff"/>
                </w:rPr>
                <w:t xml:space="preserve">&lt;2&gt;</w:t>
              </w:r>
            </w:hyperlink>
          </w:p>
        </w:tc>
      </w:tr>
      <w:t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13.</w:t>
            </w:r>
          </w:p>
        </w:tc>
        <w:tc>
          <w:tcPr>
            <w:tcW w:w="83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Никель</w:t>
            </w:r>
          </w:p>
        </w:tc>
      </w:tr>
      <w:t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14.</w:t>
            </w:r>
          </w:p>
        </w:tc>
        <w:tc>
          <w:tcPr>
            <w:tcW w:w="83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Кадмий</w:t>
            </w:r>
          </w:p>
        </w:tc>
      </w:tr>
      <w:t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15.</w:t>
            </w:r>
          </w:p>
        </w:tc>
        <w:tc>
          <w:tcPr>
            <w:tcW w:w="83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Свинец</w:t>
            </w:r>
          </w:p>
        </w:tc>
      </w:tr>
      <w:t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16.</w:t>
            </w:r>
          </w:p>
        </w:tc>
        <w:tc>
          <w:tcPr>
            <w:tcW w:w="83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Сульфиды</w:t>
            </w:r>
          </w:p>
        </w:tc>
      </w:tr>
      <w:t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17.</w:t>
            </w:r>
          </w:p>
        </w:tc>
        <w:tc>
          <w:tcPr>
            <w:tcW w:w="83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Фторид-анион</w:t>
            </w:r>
          </w:p>
        </w:tc>
      </w:tr>
      <w:t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18.</w:t>
            </w:r>
          </w:p>
        </w:tc>
        <w:tc>
          <w:tcPr>
            <w:tcW w:w="83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Стронций</w:t>
            </w:r>
          </w:p>
        </w:tc>
      </w:tr>
      <w:t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19.</w:t>
            </w:r>
          </w:p>
        </w:tc>
        <w:tc>
          <w:tcPr>
            <w:tcW w:w="83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Ртуть и ее соединения</w:t>
            </w:r>
          </w:p>
        </w:tc>
      </w:tr>
      <w:t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20.</w:t>
            </w:r>
          </w:p>
        </w:tc>
        <w:tc>
          <w:tcPr>
            <w:tcW w:w="83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Магний</w:t>
            </w:r>
          </w:p>
        </w:tc>
      </w:tr>
      <w:t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21.</w:t>
            </w:r>
          </w:p>
        </w:tc>
        <w:tc>
          <w:tcPr>
            <w:tcW w:w="83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Натрий</w:t>
            </w:r>
          </w:p>
        </w:tc>
      </w:tr>
      <w:t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22.</w:t>
            </w:r>
          </w:p>
        </w:tc>
        <w:tc>
          <w:tcPr>
            <w:tcW w:w="83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Кальций</w:t>
            </w:r>
          </w:p>
        </w:tc>
      </w:tr>
      <w:t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23.</w:t>
            </w:r>
          </w:p>
        </w:tc>
        <w:tc>
          <w:tcPr>
            <w:tcW w:w="83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АСПАВ (Анионные синтетические поверхностно-активные вещества)</w:t>
            </w:r>
          </w:p>
        </w:tc>
      </w:tr>
      <w:t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24.</w:t>
            </w:r>
          </w:p>
        </w:tc>
        <w:tc>
          <w:tcPr>
            <w:tcW w:w="83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НСПАВ (Неионогенные синтетические поверхностно-активные вещества)</w:t>
            </w:r>
          </w:p>
        </w:tc>
      </w:tr>
      <w:t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25.</w:t>
            </w:r>
          </w:p>
        </w:tc>
        <w:tc>
          <w:tcPr>
            <w:tcW w:w="83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Формальдегид (метаналь, муравьиный альдегид)</w:t>
            </w:r>
          </w:p>
        </w:tc>
      </w:tr>
      <w:t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bookmarkStart w:id="131" w:name="P131"/>
          <w:bookmarkEnd w:id="131"/>
          <w:p>
            <w:pPr>
              <w:pStyle w:val="0"/>
              <w:jc w:val="center"/>
            </w:pPr>
            <w:r>
              <w:rPr>
                <w:sz w:val="24"/>
              </w:rPr>
              <w:t xml:space="preserve">26.</w:t>
            </w:r>
          </w:p>
        </w:tc>
        <w:tc>
          <w:tcPr>
            <w:tcW w:w="83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Хлороформ (трихлорметан)</w:t>
            </w:r>
          </w:p>
        </w:tc>
      </w:tr>
      <w:t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27.</w:t>
            </w:r>
          </w:p>
        </w:tc>
        <w:tc>
          <w:tcPr>
            <w:tcW w:w="83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Олово и его соединения</w:t>
            </w:r>
          </w:p>
        </w:tc>
      </w:tr>
      <w:t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28.</w:t>
            </w:r>
          </w:p>
        </w:tc>
        <w:tc>
          <w:tcPr>
            <w:tcW w:w="83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Молибден</w:t>
            </w:r>
          </w:p>
        </w:tc>
      </w:tr>
      <w:t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29.</w:t>
            </w:r>
          </w:p>
        </w:tc>
        <w:tc>
          <w:tcPr>
            <w:tcW w:w="83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Кобальт</w:t>
            </w:r>
          </w:p>
        </w:tc>
      </w:tr>
      <w:t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30.</w:t>
            </w:r>
          </w:p>
        </w:tc>
        <w:tc>
          <w:tcPr>
            <w:tcW w:w="83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Цианид-анион</w:t>
            </w:r>
          </w:p>
        </w:tc>
      </w:tr>
      <w:t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31.</w:t>
            </w:r>
          </w:p>
        </w:tc>
        <w:tc>
          <w:tcPr>
            <w:tcW w:w="83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Мышьяк и его соединения</w:t>
            </w:r>
          </w:p>
        </w:tc>
      </w:tr>
      <w:t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32.</w:t>
            </w:r>
          </w:p>
        </w:tc>
        <w:tc>
          <w:tcPr>
            <w:tcW w:w="83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Бор</w:t>
            </w:r>
          </w:p>
        </w:tc>
      </w:tr>
      <w:t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33.</w:t>
            </w:r>
          </w:p>
        </w:tc>
        <w:tc>
          <w:tcPr>
            <w:tcW w:w="83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Роданид-ион</w:t>
            </w:r>
          </w:p>
        </w:tc>
      </w:tr>
      <w:tr>
        <w:tc>
          <w:tcPr>
            <w:gridSpan w:val="2"/>
            <w:tcW w:w="9061" w:type="dxa"/>
            <w:tcBorders>
              <w:top w:val="nil"/>
              <w:left w:val="nil"/>
              <w:bottom w:val="nil"/>
              <w:right w:val="nil"/>
            </w:tcBorders>
          </w:tcPr>
          <w:bookmarkStart w:id="147" w:name="P147"/>
          <w:bookmarkEnd w:id="147"/>
          <w:p>
            <w:pPr>
              <w:pStyle w:val="0"/>
              <w:outlineLvl w:val="2"/>
              <w:jc w:val="center"/>
            </w:pPr>
            <w:r>
              <w:rPr>
                <w:sz w:val="24"/>
              </w:rPr>
              <w:t xml:space="preserve">Раздел II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Для объектов централизованных ливневых систем водоотведения (в том числе входящих в состав централизованных комбинированных систем водоотведения)</w:t>
            </w:r>
          </w:p>
        </w:tc>
      </w:tr>
      <w:t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1.</w:t>
            </w:r>
          </w:p>
        </w:tc>
        <w:tc>
          <w:tcPr>
            <w:tcW w:w="83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Аммоний-ион (азот аммонийный </w:t>
            </w:r>
            <w:hyperlink w:history="0" w:anchor="P171" w:tooltip="&lt;3&gt; В зависимости от формы минерального азота, указанного в утвержденных нормативах допустимого воздействия на водный объект.">
              <w:r>
                <w:rPr>
                  <w:sz w:val="24"/>
                  <w:color w:val="0000ff"/>
                </w:rPr>
                <w:t xml:space="preserve">&lt;3&gt;</w:t>
              </w:r>
            </w:hyperlink>
            <w:r>
              <w:rPr>
                <w:sz w:val="24"/>
              </w:rPr>
              <w:t xml:space="preserve">)</w:t>
            </w:r>
          </w:p>
        </w:tc>
      </w:tr>
      <w:t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2.</w:t>
            </w:r>
          </w:p>
        </w:tc>
        <w:tc>
          <w:tcPr>
            <w:tcW w:w="83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Сульфаты</w:t>
            </w:r>
          </w:p>
        </w:tc>
      </w:tr>
      <w:t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3.</w:t>
            </w:r>
          </w:p>
        </w:tc>
        <w:tc>
          <w:tcPr>
            <w:tcW w:w="83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Хлорид-анион (хлориды)</w:t>
            </w:r>
          </w:p>
        </w:tc>
      </w:tr>
      <w:t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4.</w:t>
            </w:r>
          </w:p>
        </w:tc>
        <w:tc>
          <w:tcPr>
            <w:tcW w:w="83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Фенол, гидроксибензол</w:t>
            </w:r>
          </w:p>
        </w:tc>
      </w:tr>
      <w:t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5.</w:t>
            </w:r>
          </w:p>
        </w:tc>
        <w:tc>
          <w:tcPr>
            <w:tcW w:w="83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Алюминий</w:t>
            </w:r>
          </w:p>
        </w:tc>
      </w:tr>
      <w:t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6.</w:t>
            </w:r>
          </w:p>
        </w:tc>
        <w:tc>
          <w:tcPr>
            <w:tcW w:w="83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Железо</w:t>
            </w:r>
          </w:p>
        </w:tc>
      </w:tr>
      <w:t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7.</w:t>
            </w:r>
          </w:p>
        </w:tc>
        <w:tc>
          <w:tcPr>
            <w:tcW w:w="83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Медь</w:t>
            </w:r>
          </w:p>
        </w:tc>
      </w:tr>
      <w:tr>
        <w:tc>
          <w:tcPr>
            <w:tcW w:w="675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8.</w:t>
            </w:r>
          </w:p>
        </w:tc>
        <w:tc>
          <w:tcPr>
            <w:tcW w:w="8386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Цинк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--------------------------------</w:t>
      </w:r>
    </w:p>
    <w:bookmarkStart w:id="167" w:name="P167"/>
    <w:bookmarkEnd w:id="167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&lt;1&gt; Для объектов централизованных бытовых, общесплавных и комбинированных систем водоотведения с проектной мощностью очистных сооружений менее 4000 м</w:t>
      </w:r>
      <w:r>
        <w:rPr>
          <w:sz w:val="24"/>
          <w:vertAlign w:val="superscript"/>
        </w:rPr>
        <w:t xml:space="preserve">3</w:t>
      </w:r>
      <w:r>
        <w:rPr>
          <w:sz w:val="24"/>
        </w:rPr>
        <w:t xml:space="preserve">/сут инвентаризация осуществляется в отношении загрязняющих веществ указанных в </w:t>
      </w:r>
      <w:hyperlink w:history="0" w:anchor="P81" w:tooltip="1.">
        <w:r>
          <w:rPr>
            <w:sz w:val="24"/>
            <w:color w:val="0000ff"/>
          </w:rPr>
          <w:t xml:space="preserve">пунктах 1</w:t>
        </w:r>
      </w:hyperlink>
      <w:r>
        <w:rPr>
          <w:sz w:val="24"/>
        </w:rPr>
        <w:t xml:space="preserve"> - </w:t>
      </w:r>
      <w:hyperlink w:history="0" w:anchor="P131" w:tooltip="26.">
        <w:r>
          <w:rPr>
            <w:sz w:val="24"/>
            <w:color w:val="0000ff"/>
          </w:rPr>
          <w:t xml:space="preserve">26</w:t>
        </w:r>
      </w:hyperlink>
      <w:r>
        <w:rPr>
          <w:sz w:val="24"/>
        </w:rPr>
        <w:t xml:space="preserve"> настоящего перечня.</w:t>
      </w:r>
    </w:p>
    <w:bookmarkStart w:id="168" w:name="P168"/>
    <w:bookmarkEnd w:id="168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&lt;2&gt; Инвентаризация в отношении такого загрязняющего вещества осуществляется: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для объектов централизованных систем водоотведения, на которых обеззараживание сточных вод осуществляется с применением хлора или хлорреагентов;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 обнаружении в течение 24 месяцев, предшествующих месяцу, в котором осуществляется первый отбор проб сточных вод в рамках инвентаризации, в сточных водах абонентов в рамках контроля состава и свойств сточных вод, осуществляемого в соответствии с </w:t>
      </w:r>
      <w:r>
        <w:rPr>
          <w:sz w:val="24"/>
        </w:rPr>
        <w:t xml:space="preserve">Правилами</w:t>
      </w:r>
      <w:r>
        <w:rPr>
          <w:sz w:val="24"/>
        </w:rPr>
        <w:t xml:space="preserve"> осуществления контроля состава и свойств сточных вод, утвержденными Правительством Российской Федерации от 21 июня 2013 г. N 525, хлорорганических соединений в концентрации, превышающей значения показателей, при превышении которых концентрация загрязняющего вещества в сточных водах является запрещенной, предусмотренных </w:t>
      </w:r>
      <w:r>
        <w:rPr>
          <w:sz w:val="24"/>
        </w:rPr>
        <w:t xml:space="preserve">Правилами</w:t>
      </w:r>
      <w:r>
        <w:rPr>
          <w:sz w:val="24"/>
        </w:rPr>
        <w:t xml:space="preserve"> холодного водоснабжения и водоотведения, утвержденными постановлением Правительства Российской Федерации от 29 июля 2013 г. N 644 "Об утверждении Правил холодного водоснабжения и водоотведения и о внесении изменений в некоторые акты Правительства Российской Федерации" (в отношении хлорорганических соединений, по которым было обнаружено указанное превышение).</w:t>
      </w:r>
    </w:p>
    <w:bookmarkStart w:id="171" w:name="P171"/>
    <w:bookmarkEnd w:id="171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&lt;3&gt; В зависимости от формы минерального азота, указанного в утвержденных нормативах допустимого воздействия на водный объект.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right"/>
      </w:pPr>
      <w:r>
        <w:rPr>
          <w:sz w:val="24"/>
        </w:rPr>
        <w:t xml:space="preserve">Приложение N 2</w:t>
      </w:r>
    </w:p>
    <w:p>
      <w:pPr>
        <w:pStyle w:val="0"/>
        <w:jc w:val="right"/>
      </w:pPr>
      <w:r>
        <w:rPr>
          <w:sz w:val="24"/>
        </w:rPr>
        <w:t xml:space="preserve">к Правилам проведения</w:t>
      </w:r>
    </w:p>
    <w:p>
      <w:pPr>
        <w:pStyle w:val="0"/>
        <w:jc w:val="right"/>
      </w:pPr>
      <w:r>
        <w:rPr>
          <w:sz w:val="24"/>
        </w:rPr>
        <w:t xml:space="preserve">инвентаризации сбросов</w:t>
      </w:r>
    </w:p>
    <w:p>
      <w:pPr>
        <w:pStyle w:val="0"/>
        <w:jc w:val="right"/>
      </w:pPr>
      <w:r>
        <w:rPr>
          <w:sz w:val="24"/>
        </w:rPr>
        <w:t xml:space="preserve">загрязняющих веществ</w:t>
      </w:r>
    </w:p>
    <w:p>
      <w:pPr>
        <w:pStyle w:val="0"/>
        <w:jc w:val="right"/>
      </w:pPr>
      <w:r>
        <w:rPr>
          <w:sz w:val="24"/>
        </w:rPr>
        <w:t xml:space="preserve">в окружающую среду</w:t>
      </w:r>
    </w:p>
    <w:p>
      <w:pPr>
        <w:pStyle w:val="0"/>
        <w:jc w:val="both"/>
      </w:pPr>
      <w:r>
        <w:rPr>
          <w:sz w:val="24"/>
        </w:rPr>
      </w:r>
    </w:p>
    <w:bookmarkStart w:id="183" w:name="P183"/>
    <w:bookmarkEnd w:id="183"/>
    <w:p>
      <w:pPr>
        <w:pStyle w:val="2"/>
        <w:jc w:val="center"/>
      </w:pPr>
      <w:r>
        <w:rPr>
          <w:sz w:val="24"/>
        </w:rPr>
        <w:t xml:space="preserve">ПЕРИОДИЧНОСТЬ</w:t>
      </w:r>
    </w:p>
    <w:p>
      <w:pPr>
        <w:pStyle w:val="2"/>
        <w:jc w:val="center"/>
      </w:pPr>
      <w:r>
        <w:rPr>
          <w:sz w:val="24"/>
        </w:rPr>
        <w:t xml:space="preserve">ОТБОРА ПРОБ СТОЧНЫХ ВОД, НЕОБХОДИМЫХ ДЛЯ ПРОВЕДЕНИЯ</w:t>
      </w:r>
    </w:p>
    <w:p>
      <w:pPr>
        <w:pStyle w:val="2"/>
        <w:jc w:val="center"/>
      </w:pPr>
      <w:r>
        <w:rPr>
          <w:sz w:val="24"/>
        </w:rPr>
        <w:t xml:space="preserve">ИНВЕНТАРИЗАЦИИ СБРОСОВ ЗАГРЯЗНЯЮЩИХ ВЕЩЕСТВ</w:t>
      </w:r>
    </w:p>
    <w:p>
      <w:pPr>
        <w:pStyle w:val="2"/>
        <w:jc w:val="center"/>
      </w:pPr>
      <w:r>
        <w:rPr>
          <w:sz w:val="24"/>
        </w:rPr>
        <w:t xml:space="preserve">В ОКРУЖАЮЩУЮ СРЕДУ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bottom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34"/>
        <w:gridCol w:w="4535"/>
      </w:tblGrid>
      <w:tr>
        <w:tblPrEx>
          <w:tblBorders>
            <w:insideV w:val="single" w:sz="4"/>
            <w:insideH w:val="single" w:sz="4"/>
          </w:tblBorders>
        </w:tblPrEx>
        <w:tc>
          <w:tcPr>
            <w:tcW w:w="4534" w:type="dxa"/>
            <w:tcBorders>
              <w:top w:val="single" w:sz="4"/>
              <w:left w:val="nil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Объем сточных вод, сбрасываемых объектами централизованных систем водоотведения в водные объекты </w:t>
            </w:r>
            <w:hyperlink w:history="0" w:anchor="P196" w:tooltip="&lt;1&gt; Среднесуточный объем за 12 календарных месяцев, предшествующих месяцу, в котором осуществляется первый отбор проб сточных вод в рамках инвентаризации.">
              <w:r>
                <w:rPr>
                  <w:sz w:val="24"/>
                  <w:color w:val="0000ff"/>
                </w:rPr>
                <w:t xml:space="preserve">&lt;1&gt;</w:t>
              </w:r>
            </w:hyperlink>
            <w:r>
              <w:rPr>
                <w:sz w:val="24"/>
              </w:rPr>
              <w:t xml:space="preserve">, м/сут</w:t>
            </w:r>
          </w:p>
        </w:tc>
        <w:tc>
          <w:tcPr>
            <w:tcW w:w="4535" w:type="dxa"/>
            <w:tcBorders>
              <w:top w:val="single" w:sz="4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Периодичность отбора проб сточных вод</w:t>
            </w:r>
          </w:p>
        </w:tc>
      </w:tr>
      <w:tr>
        <w:tc>
          <w:tcPr>
            <w:tcW w:w="4534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 и более</w:t>
            </w:r>
          </w:p>
        </w:tc>
        <w:tc>
          <w:tcPr>
            <w:tcW w:w="4535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 раз в календарный месяц </w:t>
            </w:r>
            <w:hyperlink w:history="0" w:anchor="P197" w:tooltip="&lt;2&gt; В случае если в течение календарного месяца сброс сточных вод не осуществлялся, допускается отбор проб сточных вод в течение иных календарных месяцев более 1 раза в календарный месяц, при этом интервал между датами отборов проб должен составлять не менее 10 календарных дней.">
              <w:r>
                <w:rPr>
                  <w:sz w:val="24"/>
                  <w:color w:val="0000ff"/>
                </w:rPr>
                <w:t xml:space="preserve">&lt;2&gt;</w:t>
              </w:r>
            </w:hyperlink>
          </w:p>
        </w:tc>
      </w:tr>
      <w:tr>
        <w:tc>
          <w:tcPr>
            <w:tcW w:w="4534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менее 100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 раз в квартал </w:t>
            </w:r>
            <w:hyperlink w:history="0" w:anchor="P198" w:tooltip="&lt;3&gt; В случае если в течение квартала сброс сточных вод не осуществлялся, допускается отбор проб сточных вод в течение иных кварталов более 1 раза в квартал, при этом интервал между датами отборов проб должен составлять не менее 30 календарных дней.">
              <w:r>
                <w:rPr>
                  <w:sz w:val="24"/>
                  <w:color w:val="0000ff"/>
                </w:rPr>
                <w:t xml:space="preserve">&lt;3&gt;</w:t>
              </w:r>
            </w:hyperlink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--------------------------------</w:t>
      </w:r>
    </w:p>
    <w:bookmarkStart w:id="196" w:name="P196"/>
    <w:bookmarkEnd w:id="196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&lt;1&gt; Среднесуточный объем за 12 календарных месяцев, предшествующих месяцу, в котором осуществляется первый отбор проб сточных вод в рамках инвентаризации.</w:t>
      </w:r>
    </w:p>
    <w:bookmarkStart w:id="197" w:name="P197"/>
    <w:bookmarkEnd w:id="197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&lt;2&gt; В случае если в течение календарного месяца сброс сточных вод не осуществлялся, допускается отбор проб сточных вод в течение иных календарных месяцев более 1 раза в календарный месяц, при этом интервал между датами отборов проб должен составлять не менее 10 календарных дней.</w:t>
      </w:r>
    </w:p>
    <w:bookmarkStart w:id="198" w:name="P198"/>
    <w:bookmarkEnd w:id="198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&lt;3&gt; В случае если в течение квартала сброс сточных вод не осуществлялся, допускается отбор проб сточных вод в течение иных кварталов более 1 раза в квартал, при этом интервал между датами отборов проб должен составлять не менее 30 календарных дней.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РФ от 13.07.2019 N 891</w:t>
            <w:br/>
            <w:t>"Об утверждении Правил проведения инвентаризации сбросов загрязняющих...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06.04.2026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<?xml version="1.0" encoding="UTF-8" standalone="yes"?>
<Relationships xmlns="http://schemas.openxmlformats.org/package/2006/relationships">
	<Relationship Id="rId1" Type="http://schemas.openxmlformats.org/officeDocument/2006/relationships/styles" Target="styles.xml"/>
	<Relationship Id="rId2" Type="http://schemas.openxmlformats.org/officeDocument/2006/relationships/image" Target="media/image1.png"/>
	<Relationship Id="rId3" Type="http://schemas.openxmlformats.org/officeDocument/2006/relationships/hyperlink" Target="https://www.consultant.ru" TargetMode = "External"/>
	<Relationship Id="rId4" Type="http://schemas.openxmlformats.org/officeDocument/2006/relationships/hyperlink" Target="https://www.consultant.ru" TargetMode = "External"/>
	<Relationship Id="rId5" Type="http://schemas.openxmlformats.org/officeDocument/2006/relationships/header" Target="header1.xml"/>
	<Relationship Id="rId6" Type="http://schemas.openxmlformats.org/officeDocument/2006/relationships/footer" Target="footer1.xml"/>
</Relationships>
</file>

<file path=word/_rels/foot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13.07.2019 N 891
"Об утверждении Правил проведения инвентаризации сбросов загрязняющих веществ в окружающую среду"</dc:title>
  <dcterms:created xsi:type="dcterms:W3CDTF">2026-04-06T04:27:12Z</dcterms:created>
</cp:coreProperties>
</file>